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774" w:rsidRDefault="00971A42">
      <w:pPr>
        <w:pStyle w:val="Normlnweb"/>
        <w:spacing w:before="0" w:beforeAutospacing="0" w:after="0" w:afterAutospacing="0"/>
        <w:rPr>
          <w:rFonts w:ascii="Calibri Light" w:hAnsi="Calibri Light"/>
          <w:color w:val="000000"/>
          <w:sz w:val="40"/>
          <w:szCs w:val="40"/>
        </w:rPr>
      </w:pPr>
      <w:r>
        <w:rPr>
          <w:rFonts w:ascii="Calibri Light" w:hAnsi="Calibri Light"/>
          <w:color w:val="000000"/>
          <w:sz w:val="40"/>
          <w:szCs w:val="40"/>
        </w:rPr>
        <w:t>2015-09 zadání na prioritní opravy</w:t>
      </w:r>
    </w:p>
    <w:p w:rsidR="003E6774" w:rsidRDefault="00971A42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E6774" w:rsidRDefault="00971A42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Poptáváme prioritní opravy v rámci areálu SVJ Netlucká - v rámci auditu byly identifikovány některé zásadní problémy, které SVJ potřebuje vyřešit do konce října 2015.</w:t>
      </w:r>
    </w:p>
    <w:p w:rsidR="003E6774" w:rsidRDefault="00971A42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E6774" w:rsidRDefault="00971A42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Seznam požadovaných oprav: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3"/>
        <w:gridCol w:w="951"/>
        <w:gridCol w:w="1963"/>
        <w:gridCol w:w="2068"/>
        <w:gridCol w:w="3287"/>
      </w:tblGrid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Číslo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Auditní č.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Umístění</w:t>
            </w:r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Popis opravy</w:t>
            </w:r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Foto</w:t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Ve vchodu do 635B i 635A vypadaná spárovací hmota keramické dlažby + poškozené dlaždice</w:t>
            </w:r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Výměna dlaždice, odstranění nesoudržné spárovací hmoty, přespárování</w:t>
            </w:r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33575" cy="1447800"/>
                  <wp:effectExtent l="0" t="0" r="9525" b="0"/>
                  <wp:docPr id="1" name="obrázek 1" descr="C:\AD7350E5\E7521227-3EB4-4287-9F88-080A43155E2F_soubory\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AD7350E5\E7521227-3EB4-4287-9F88-080A43155E2F_soubory\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Vydrolené spáry keramické dlažby ve vstupu do 634 A i 634 B        </w:t>
            </w:r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Odstranění nesoudržných částí spárovací hmoty + přespárování flexibilní spárovací hmotou</w:t>
            </w:r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33575" cy="1447800"/>
                  <wp:effectExtent l="0" t="0" r="9525" b="0"/>
                  <wp:docPr id="2" name="obrázek 2" descr="C:\AD7350E5\E7521227-3EB4-4287-9F88-080A43155E2F_soubory\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AD7350E5\E7521227-3EB4-4287-9F88-080A43155E2F_soubory\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43100" cy="1457325"/>
                  <wp:effectExtent l="0" t="0" r="0" b="9525"/>
                  <wp:docPr id="3" name="obrázek 3" descr="C:\AD7350E5\E7521227-3EB4-4287-9F88-080A43155E2F_soubory\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AD7350E5\E7521227-3EB4-4287-9F88-080A43155E2F_soubory\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3.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Poškozen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ý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silikonový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tmel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u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vstupních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dveří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do 635 B</w:t>
            </w:r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Odstraněn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í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stávajícího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nesoudržného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tmelu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+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aplikace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nového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polyuretanového</w:t>
            </w:r>
            <w:proofErr w:type="spellEnd"/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33575" cy="1447800"/>
                  <wp:effectExtent l="0" t="0" r="9525" b="0"/>
                  <wp:docPr id="4" name="obrázek 4" descr="C:\AD7350E5\E7521227-3EB4-4287-9F88-080A43155E2F_soubory\image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AD7350E5\E7521227-3EB4-4287-9F88-080A43155E2F_soubory\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4.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Vydrolen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é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spáry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keramické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dlažby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ve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vstupu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do 633 A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i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633 B</w:t>
            </w:r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Odstraněn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í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nesoudržných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částí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spárovací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hmoty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+ přespárování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flexibilní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spárovací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hmotou</w:t>
            </w:r>
            <w:proofErr w:type="spellEnd"/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52625" cy="1466850"/>
                  <wp:effectExtent l="0" t="0" r="9525" b="0"/>
                  <wp:docPr id="5" name="obrázek 5" descr="C:\AD7350E5\E7521227-3EB4-4287-9F88-080A43155E2F_soubory\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AD7350E5\E7521227-3EB4-4287-9F88-080A43155E2F_soubory\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5.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42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Vydrolen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é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spáry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keramické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dlažby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ve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vstupu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do 632 </w:t>
            </w:r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Odstraněn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í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nesoudržných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částí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spárovací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hmoty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+ přespárování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flexibilní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spárovací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hmotou</w:t>
            </w:r>
            <w:proofErr w:type="spellEnd"/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43100" cy="1457325"/>
                  <wp:effectExtent l="0" t="0" r="0" b="9525"/>
                  <wp:docPr id="6" name="obrázek 6" descr="C:\AD7350E5\E7521227-3EB4-4287-9F88-080A43155E2F_soubory\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AD7350E5\E7521227-3EB4-4287-9F88-080A43155E2F_soubory\image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6.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49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Dům 632, strana k parkovišti (garážím) -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keramick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á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dlažba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schodiště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lokálně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nepřiléhá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k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podkladu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+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vydrolená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spárovací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hmota</w:t>
            </w:r>
            <w:proofErr w:type="spellEnd"/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Odstraněn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í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nesoudržných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prvků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a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spárovací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hmoty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montáž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nových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+ přespárování</w:t>
            </w:r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43100" cy="1457325"/>
                  <wp:effectExtent l="0" t="0" r="0" b="9525"/>
                  <wp:docPr id="7" name="obrázek 7" descr="C:\AD7350E5\E7521227-3EB4-4287-9F88-080A43155E2F_soubory\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AD7350E5\E7521227-3EB4-4287-9F88-080A43155E2F_soubory\image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7.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Garáže - delší strana - ukončen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í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hydroizolace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a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nopové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fólie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směrem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do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zeleně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se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odlupuje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může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docházet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k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zatékání</w:t>
            </w:r>
            <w:proofErr w:type="spellEnd"/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Ř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ádné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přikotvení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oplechování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+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přetmelení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spáry</w:t>
            </w:r>
            <w:proofErr w:type="spellEnd"/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62150" cy="1466850"/>
                  <wp:effectExtent l="0" t="0" r="0" b="0"/>
                  <wp:docPr id="8" name="obrázek 8" descr="C:\AD7350E5\E7521227-3EB4-4287-9F88-080A43155E2F_soubory\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AD7350E5\E7521227-3EB4-4287-9F88-080A43155E2F_soubory\image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62150" cy="1466850"/>
                  <wp:effectExtent l="0" t="0" r="0" b="0"/>
                  <wp:docPr id="9" name="obrázek 9" descr="C:\AD7350E5\E7521227-3EB4-4287-9F88-080A43155E2F_soubory\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AD7350E5\E7521227-3EB4-4287-9F88-080A43155E2F_soubory\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numPr>
                <w:ilvl w:val="1"/>
                <w:numId w:val="2"/>
              </w:numPr>
              <w:ind w:left="353"/>
              <w:textAlignment w:val="center"/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62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Garáže - delší strana - kryty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dilatačn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ích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spár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–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nejsou</w:t>
            </w:r>
            <w:proofErr w:type="spellEnd"/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US"/>
              </w:rPr>
              <w:t>zatmeleny</w:t>
            </w:r>
            <w:proofErr w:type="spellEnd"/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Zatmelen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polyuretanov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ý</w:t>
            </w:r>
            <w:r>
              <w:rPr>
                <w:rFonts w:ascii="Century Gothic" w:hAnsi="Century Gothic"/>
                <w:sz w:val="20"/>
                <w:szCs w:val="20"/>
              </w:rPr>
              <w:t>m tmelem</w:t>
            </w:r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62150" cy="1466850"/>
                  <wp:effectExtent l="0" t="0" r="0" b="0"/>
                  <wp:docPr id="10" name="obrázek 10" descr="C:\AD7350E5\E7521227-3EB4-4287-9F88-080A43155E2F_soubory\image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AD7350E5\E7521227-3EB4-4287-9F88-080A43155E2F_soubory\image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numPr>
                <w:ilvl w:val="1"/>
                <w:numId w:val="4"/>
              </w:numPr>
              <w:ind w:left="353"/>
              <w:textAlignment w:val="center"/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> 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63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rFonts w:ascii="Calibri" w:hAnsi="Calibri"/>
                <w:sz w:val="22"/>
                <w:szCs w:val="22"/>
              </w:rPr>
              <w:t xml:space="preserve">Garáže - delší strana - </w:t>
            </w:r>
            <w:r>
              <w:rPr>
                <w:rFonts w:ascii="Century Gothic" w:hAnsi="Century Gothic"/>
                <w:sz w:val="20"/>
                <w:szCs w:val="20"/>
              </w:rPr>
              <w:t>odehnut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é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nebo poškozen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é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kryc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lišty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připojovac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okenn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sp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ry</w:t>
            </w:r>
            <w:proofErr w:type="spellEnd"/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Demont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r>
              <w:rPr>
                <w:rFonts w:ascii="Century Gothic" w:hAnsi="Century Gothic"/>
                <w:sz w:val="20"/>
                <w:szCs w:val="20"/>
              </w:rPr>
              <w:t>ž st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vaj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>c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>ch lišt, doplněn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PUR +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mont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r>
              <w:rPr>
                <w:rFonts w:ascii="Century Gothic" w:hAnsi="Century Gothic"/>
                <w:sz w:val="20"/>
                <w:szCs w:val="20"/>
              </w:rPr>
              <w:t>ž nov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ý</w:t>
            </w:r>
            <w:r>
              <w:rPr>
                <w:rFonts w:ascii="Century Gothic" w:hAnsi="Century Gothic"/>
                <w:sz w:val="20"/>
                <w:szCs w:val="20"/>
              </w:rPr>
              <w:t xml:space="preserve">ch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kryc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>ch lišt</w:t>
            </w:r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52625" cy="1457325"/>
                  <wp:effectExtent l="0" t="0" r="9525" b="9525"/>
                  <wp:docPr id="11" name="obrázek 11" descr="C:\AD7350E5\E7521227-3EB4-4287-9F88-080A43155E2F_soubory\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AD7350E5\E7521227-3EB4-4287-9F88-080A43155E2F_soubory\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10.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64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Garáze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- delší strana - poškozen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hydroizolace od břečťanu</w:t>
            </w:r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Odstraněn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kořenů břečťanu, odkop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r>
              <w:rPr>
                <w:rFonts w:ascii="Century Gothic" w:hAnsi="Century Gothic"/>
                <w:sz w:val="20"/>
                <w:szCs w:val="20"/>
              </w:rPr>
              <w:t>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+ oprava hydroizolace, doplněn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oplechov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r>
              <w:rPr>
                <w:rFonts w:ascii="Century Gothic" w:hAnsi="Century Gothic"/>
                <w:sz w:val="20"/>
                <w:szCs w:val="20"/>
              </w:rPr>
              <w:t>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52625" cy="1457325"/>
                  <wp:effectExtent l="0" t="0" r="9525" b="9525"/>
                  <wp:docPr id="12" name="obrázek 12" descr="C:\AD7350E5\E7521227-3EB4-4287-9F88-080A43155E2F_soubory\image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AD7350E5\E7521227-3EB4-4287-9F88-080A43155E2F_soubory\image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11.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65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rFonts w:ascii="Calibri" w:hAnsi="Calibri"/>
                <w:sz w:val="22"/>
                <w:szCs w:val="22"/>
              </w:rPr>
              <w:t xml:space="preserve">Garáže - delší strana - </w:t>
            </w:r>
            <w:r>
              <w:rPr>
                <w:rFonts w:ascii="Century Gothic" w:hAnsi="Century Gothic"/>
                <w:sz w:val="20"/>
                <w:szCs w:val="20"/>
              </w:rPr>
              <w:t>okapnice nad oknem – přikotvit + přetmelit</w:t>
            </w:r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Přikotven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+ přetmelen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sp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ry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polyuretanov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ý</w:t>
            </w:r>
            <w:r>
              <w:rPr>
                <w:rFonts w:ascii="Century Gothic" w:hAnsi="Century Gothic"/>
                <w:sz w:val="20"/>
                <w:szCs w:val="20"/>
              </w:rPr>
              <w:t>m tmelem</w:t>
            </w:r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52625" cy="1457325"/>
                  <wp:effectExtent l="0" t="0" r="9525" b="9525"/>
                  <wp:docPr id="13" name="obrázek 13" descr="C:\AD7350E5\E7521227-3EB4-4287-9F88-080A43155E2F_soubory\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AD7350E5\E7521227-3EB4-4287-9F88-080A43155E2F_soubory\image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12.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66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rFonts w:ascii="Calibri" w:hAnsi="Calibri"/>
                <w:sz w:val="22"/>
                <w:szCs w:val="22"/>
              </w:rPr>
              <w:t xml:space="preserve">Garáže - delší strana - </w:t>
            </w:r>
            <w:r>
              <w:rPr>
                <w:rFonts w:ascii="Century Gothic" w:hAnsi="Century Gothic"/>
                <w:sz w:val="20"/>
                <w:szCs w:val="20"/>
              </w:rPr>
              <w:t>veden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kabelu elektro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viditeln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é</w:t>
            </w:r>
            <w:r>
              <w:rPr>
                <w:rFonts w:ascii="Century Gothic" w:hAnsi="Century Gothic"/>
                <w:sz w:val="20"/>
                <w:szCs w:val="20"/>
              </w:rPr>
              <w:t xml:space="preserve">, bez ochrany (pod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př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stupov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ý</w:t>
            </w:r>
            <w:r>
              <w:rPr>
                <w:rFonts w:ascii="Century Gothic" w:hAnsi="Century Gothic"/>
                <w:sz w:val="20"/>
                <w:szCs w:val="20"/>
              </w:rPr>
              <w:t xml:space="preserve">m </w:t>
            </w:r>
            <w:proofErr w:type="spellStart"/>
            <w:proofErr w:type="gramStart"/>
            <w:r>
              <w:rPr>
                <w:rFonts w:ascii="Century Gothic" w:hAnsi="Century Gothic"/>
                <w:sz w:val="20"/>
                <w:szCs w:val="20"/>
              </w:rPr>
              <w:t>ocelov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ý</w:t>
            </w:r>
            <w:r>
              <w:rPr>
                <w:rFonts w:ascii="Century Gothic" w:hAnsi="Century Gothic"/>
                <w:sz w:val="20"/>
                <w:szCs w:val="20"/>
              </w:rPr>
              <w:t>ch</w:t>
            </w:r>
            <w:proofErr w:type="gramEnd"/>
            <w:r>
              <w:rPr>
                <w:rFonts w:ascii="Century Gothic" w:hAnsi="Century Gothic"/>
                <w:sz w:val="20"/>
                <w:szCs w:val="20"/>
              </w:rPr>
              <w:t xml:space="preserve"> schodištěm)</w:t>
            </w:r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Doplnit ochranu (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chr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ničku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kryc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lištu)</w:t>
            </w:r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33575" cy="1447800"/>
                  <wp:effectExtent l="0" t="0" r="9525" b="0"/>
                  <wp:docPr id="14" name="obrázek 14" descr="C:\AD7350E5\E7521227-3EB4-4287-9F88-080A43155E2F_soubory\image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AD7350E5\E7521227-3EB4-4287-9F88-080A43155E2F_soubory\image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13.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68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rFonts w:ascii="Calibri" w:hAnsi="Calibri"/>
                <w:sz w:val="22"/>
                <w:szCs w:val="22"/>
              </w:rPr>
              <w:t>Garáže - delší strana - u</w:t>
            </w:r>
            <w:r>
              <w:rPr>
                <w:rFonts w:ascii="Century Gothic" w:hAnsi="Century Gothic"/>
                <w:sz w:val="20"/>
                <w:szCs w:val="20"/>
              </w:rPr>
              <w:t>končen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hydroizolace 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–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může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doch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r>
              <w:rPr>
                <w:rFonts w:ascii="Century Gothic" w:hAnsi="Century Gothic"/>
                <w:sz w:val="20"/>
                <w:szCs w:val="20"/>
              </w:rPr>
              <w:t xml:space="preserve">zet k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zat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é</w:t>
            </w:r>
            <w:r>
              <w:rPr>
                <w:rFonts w:ascii="Century Gothic" w:hAnsi="Century Gothic"/>
                <w:sz w:val="20"/>
                <w:szCs w:val="20"/>
              </w:rPr>
              <w:t>k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r>
              <w:rPr>
                <w:rFonts w:ascii="Century Gothic" w:hAnsi="Century Gothic"/>
                <w:sz w:val="20"/>
                <w:szCs w:val="20"/>
              </w:rPr>
              <w:t>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Doplnit plechovou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kryc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lištu + tmel +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sn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>žen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ter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é</w:t>
            </w:r>
            <w:r>
              <w:rPr>
                <w:rFonts w:ascii="Century Gothic" w:hAnsi="Century Gothic"/>
                <w:sz w:val="20"/>
                <w:szCs w:val="20"/>
              </w:rPr>
              <w:t>nu</w:t>
            </w:r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52625" cy="1457325"/>
                  <wp:effectExtent l="0" t="0" r="9525" b="9525"/>
                  <wp:docPr id="15" name="obrázek 15" descr="C:\AD7350E5\E7521227-3EB4-4287-9F88-080A43155E2F_soubory\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AD7350E5\E7521227-3EB4-4287-9F88-080A43155E2F_soubory\image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33575" cy="1447800"/>
                  <wp:effectExtent l="0" t="0" r="9525" b="0"/>
                  <wp:docPr id="16" name="obrázek 16" descr="C:\AD7350E5\E7521227-3EB4-4287-9F88-080A43155E2F_soubory\image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AD7350E5\E7521227-3EB4-4287-9F88-080A43155E2F_soubory\image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43100" cy="1457325"/>
                  <wp:effectExtent l="0" t="0" r="0" b="9525"/>
                  <wp:docPr id="17" name="obrázek 17" descr="C:\AD7350E5\E7521227-3EB4-4287-9F88-080A43155E2F_soubory\image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AD7350E5\E7521227-3EB4-4287-9F88-080A43155E2F_soubory\image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14.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73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rFonts w:ascii="Calibri" w:hAnsi="Calibri"/>
                <w:sz w:val="22"/>
                <w:szCs w:val="22"/>
              </w:rPr>
              <w:t xml:space="preserve">Interiér 635A - </w:t>
            </w:r>
            <w:r>
              <w:rPr>
                <w:rFonts w:ascii="Century Gothic" w:hAnsi="Century Gothic"/>
                <w:sz w:val="20"/>
                <w:szCs w:val="20"/>
              </w:rPr>
              <w:t>vydrolen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sp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rovac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hmota ve vstupu </w:t>
            </w:r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Odstraněn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sp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rovac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hmoty +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přesp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r>
              <w:rPr>
                <w:rFonts w:ascii="Century Gothic" w:hAnsi="Century Gothic"/>
                <w:sz w:val="20"/>
                <w:szCs w:val="20"/>
              </w:rPr>
              <w:t>rov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r>
              <w:rPr>
                <w:rFonts w:ascii="Century Gothic" w:hAnsi="Century Gothic"/>
                <w:sz w:val="20"/>
                <w:szCs w:val="20"/>
              </w:rPr>
              <w:t>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flexibiln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33575" cy="1447800"/>
                  <wp:effectExtent l="0" t="0" r="9525" b="0"/>
                  <wp:docPr id="18" name="obrázek 18" descr="C:\AD7350E5\E7521227-3EB4-4287-9F88-080A43155E2F_soubory\image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AD7350E5\E7521227-3EB4-4287-9F88-080A43155E2F_soubory\image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numPr>
                <w:ilvl w:val="1"/>
                <w:numId w:val="6"/>
              </w:numPr>
              <w:ind w:left="464"/>
              <w:textAlignment w:val="center"/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> 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75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rFonts w:ascii="Calibri" w:hAnsi="Calibri"/>
                <w:sz w:val="22"/>
                <w:szCs w:val="22"/>
              </w:rPr>
              <w:t>Interiér 635A - p</w:t>
            </w:r>
            <w:r>
              <w:rPr>
                <w:rFonts w:ascii="Century Gothic" w:hAnsi="Century Gothic"/>
                <w:sz w:val="20"/>
                <w:szCs w:val="20"/>
              </w:rPr>
              <w:t>raskl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dlaždice v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 </w:t>
            </w:r>
            <w:r>
              <w:rPr>
                <w:rFonts w:ascii="Century Gothic" w:hAnsi="Century Gothic"/>
                <w:sz w:val="20"/>
                <w:szCs w:val="20"/>
              </w:rPr>
              <w:t>chodbě 1. NP – 2 ks, 2. NP 1ks, vydrolená spárovací hmota</w:t>
            </w:r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Odstraněn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poškozen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ý</w:t>
            </w:r>
            <w:r>
              <w:rPr>
                <w:rFonts w:ascii="Century Gothic" w:hAnsi="Century Gothic"/>
                <w:sz w:val="20"/>
                <w:szCs w:val="20"/>
              </w:rPr>
              <w:t xml:space="preserve">ch dlaždic,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mont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r>
              <w:rPr>
                <w:rFonts w:ascii="Century Gothic" w:hAnsi="Century Gothic"/>
                <w:sz w:val="20"/>
                <w:szCs w:val="20"/>
              </w:rPr>
              <w:t>ž nov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ý</w:t>
            </w:r>
            <w:r>
              <w:rPr>
                <w:rFonts w:ascii="Century Gothic" w:hAnsi="Century Gothic"/>
                <w:sz w:val="20"/>
                <w:szCs w:val="20"/>
              </w:rPr>
              <w:t xml:space="preserve">ch,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přesp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r>
              <w:rPr>
                <w:rFonts w:ascii="Century Gothic" w:hAnsi="Century Gothic"/>
                <w:sz w:val="20"/>
                <w:szCs w:val="20"/>
              </w:rPr>
              <w:t>rov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á</w:t>
            </w:r>
            <w:r>
              <w:rPr>
                <w:rFonts w:ascii="Century Gothic" w:hAnsi="Century Gothic"/>
                <w:sz w:val="20"/>
                <w:szCs w:val="20"/>
              </w:rPr>
              <w:t>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33575" cy="1447800"/>
                  <wp:effectExtent l="0" t="0" r="9525" b="0"/>
                  <wp:docPr id="19" name="obrázek 19" descr="C:\AD7350E5\E7521227-3EB4-4287-9F88-080A43155E2F_soubory\image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AD7350E5\E7521227-3EB4-4287-9F88-080A43155E2F_soubory\image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16.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132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rFonts w:ascii="Calibri" w:hAnsi="Calibri"/>
                <w:sz w:val="22"/>
                <w:szCs w:val="22"/>
              </w:rPr>
              <w:t>Interiér 633B - t</w:t>
            </w:r>
            <w:r>
              <w:rPr>
                <w:rFonts w:ascii="Century Gothic" w:hAnsi="Century Gothic"/>
                <w:sz w:val="20"/>
                <w:szCs w:val="20"/>
              </w:rPr>
              <w:t>rhliny v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 </w:t>
            </w:r>
            <w:r>
              <w:rPr>
                <w:rFonts w:ascii="Century Gothic" w:hAnsi="Century Gothic"/>
                <w:sz w:val="20"/>
                <w:szCs w:val="20"/>
              </w:rPr>
              <w:t>podhledu v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 </w:t>
            </w:r>
            <w:r>
              <w:rPr>
                <w:rFonts w:ascii="Century Gothic" w:hAnsi="Century Gothic"/>
                <w:sz w:val="20"/>
                <w:szCs w:val="20"/>
              </w:rPr>
              <w:t>chodbě k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 </w:t>
            </w:r>
            <w:r>
              <w:rPr>
                <w:rFonts w:ascii="Century Gothic" w:hAnsi="Century Gothic"/>
                <w:sz w:val="20"/>
                <w:szCs w:val="20"/>
              </w:rPr>
              <w:t>bytům v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 </w:t>
            </w:r>
            <w:r>
              <w:rPr>
                <w:rFonts w:ascii="Century Gothic" w:hAnsi="Century Gothic"/>
                <w:sz w:val="20"/>
                <w:szCs w:val="20"/>
              </w:rPr>
              <w:t xml:space="preserve">1. NP +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prosv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>taj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>c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vruty 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–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nutno prověřit, zda podhled je dostatečně přikotven</w:t>
            </w:r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Sonda, doplněn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vrutů, přetmelen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>, přebroušen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>, malba</w:t>
            </w:r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52625" cy="1457325"/>
                  <wp:effectExtent l="0" t="0" r="9525" b="9525"/>
                  <wp:docPr id="20" name="obrázek 20" descr="C:\AD7350E5\E7521227-3EB4-4287-9F88-080A43155E2F_soubory\image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AD7350E5\E7521227-3EB4-4287-9F88-080A43155E2F_soubory\image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774">
        <w:trPr>
          <w:divId w:val="150413799"/>
        </w:trPr>
        <w:tc>
          <w:tcPr>
            <w:tcW w:w="131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numPr>
                <w:ilvl w:val="1"/>
                <w:numId w:val="8"/>
              </w:numPr>
              <w:ind w:left="464"/>
              <w:textAlignment w:val="center"/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> </w:t>
            </w:r>
          </w:p>
        </w:tc>
        <w:tc>
          <w:tcPr>
            <w:tcW w:w="12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144</w:t>
            </w:r>
          </w:p>
        </w:tc>
        <w:tc>
          <w:tcPr>
            <w:tcW w:w="469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</w:pPr>
            <w:r>
              <w:rPr>
                <w:rFonts w:ascii="Calibri" w:hAnsi="Calibri"/>
                <w:sz w:val="22"/>
                <w:szCs w:val="22"/>
              </w:rPr>
              <w:t xml:space="preserve">Interiér 632A - </w:t>
            </w:r>
            <w:r>
              <w:rPr>
                <w:rFonts w:ascii="Century Gothic" w:hAnsi="Century Gothic"/>
                <w:sz w:val="20"/>
                <w:szCs w:val="20"/>
              </w:rPr>
              <w:t>trhliny v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 </w:t>
            </w:r>
            <w:r>
              <w:rPr>
                <w:rFonts w:ascii="Century Gothic" w:hAnsi="Century Gothic"/>
                <w:sz w:val="20"/>
                <w:szCs w:val="20"/>
              </w:rPr>
              <w:t>podhledu v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 </w:t>
            </w:r>
            <w:r>
              <w:rPr>
                <w:rFonts w:ascii="Century Gothic" w:hAnsi="Century Gothic"/>
                <w:sz w:val="20"/>
                <w:szCs w:val="20"/>
              </w:rPr>
              <w:t>chodbě k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 </w:t>
            </w:r>
            <w:r>
              <w:rPr>
                <w:rFonts w:ascii="Century Gothic" w:hAnsi="Century Gothic"/>
                <w:sz w:val="20"/>
                <w:szCs w:val="20"/>
              </w:rPr>
              <w:t>bytům v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 </w:t>
            </w:r>
            <w:r>
              <w:rPr>
                <w:rFonts w:ascii="Century Gothic" w:hAnsi="Century Gothic"/>
                <w:sz w:val="20"/>
                <w:szCs w:val="20"/>
              </w:rPr>
              <w:t xml:space="preserve">1. NP +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prosv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>taj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>c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vruty 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–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nutno prověřit, zda podhled je dostatečně přikotven</w:t>
            </w:r>
          </w:p>
        </w:tc>
        <w:tc>
          <w:tcPr>
            <w:tcW w:w="36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Sonda, doplněn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vrutů, přetmelen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>, přebroušen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í</w:t>
            </w:r>
            <w:r>
              <w:rPr>
                <w:rFonts w:ascii="Century Gothic" w:hAnsi="Century Gothic"/>
                <w:sz w:val="20"/>
                <w:szCs w:val="20"/>
              </w:rPr>
              <w:t>, malba</w:t>
            </w:r>
          </w:p>
        </w:tc>
        <w:tc>
          <w:tcPr>
            <w:tcW w:w="34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E6774" w:rsidRDefault="00971A42">
            <w:pPr>
              <w:pStyle w:val="Normln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bez obr.</w:t>
            </w:r>
          </w:p>
        </w:tc>
      </w:tr>
    </w:tbl>
    <w:p w:rsidR="003E6774" w:rsidRDefault="00971A42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E6774" w:rsidRDefault="00971A42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Očekáváme nabídku, která zohlední a garantuje realizační kapacity pro provedení veškerých prací v průběhu října 2015.</w:t>
      </w:r>
    </w:p>
    <w:p w:rsidR="003E6774" w:rsidRDefault="00971A42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E6774" w:rsidRDefault="00971A42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V případě úspěšného provedení a spokojenosti se dá předpokládat spolupráce na dalších zakázkách v rámci naplňování dlouhodobého plánu oprav v rámci areálu SVJ Netlucká.</w:t>
      </w:r>
    </w:p>
    <w:p w:rsidR="003E6774" w:rsidRDefault="00971A42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E6774" w:rsidRDefault="00971A42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Prohlídka areálu je před vlastní nabídkou nutností</w:t>
      </w:r>
      <w:r w:rsidR="001B6A18">
        <w:rPr>
          <w:rFonts w:ascii="Calibri" w:hAnsi="Calibri"/>
          <w:color w:val="000000"/>
          <w:sz w:val="22"/>
          <w:szCs w:val="22"/>
        </w:rPr>
        <w:t>.</w:t>
      </w:r>
      <w:bookmarkStart w:id="0" w:name="_GoBack"/>
      <w:bookmarkEnd w:id="0"/>
    </w:p>
    <w:sectPr w:rsidR="003E6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53033"/>
    <w:multiLevelType w:val="multilevel"/>
    <w:tmpl w:val="7FA6A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E54DC0"/>
    <w:multiLevelType w:val="multilevel"/>
    <w:tmpl w:val="131A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E7326F"/>
    <w:multiLevelType w:val="multilevel"/>
    <w:tmpl w:val="293E8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12334E"/>
    <w:multiLevelType w:val="multilevel"/>
    <w:tmpl w:val="E3F4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  <w:lvlOverride w:ilvl="1">
      <w:startOverride w:val="8"/>
    </w:lvlOverride>
  </w:num>
  <w:num w:numId="3">
    <w:abstractNumId w:val="1"/>
  </w:num>
  <w:num w:numId="4">
    <w:abstractNumId w:val="1"/>
    <w:lvlOverride w:ilvl="1">
      <w:startOverride w:val="9"/>
    </w:lvlOverride>
  </w:num>
  <w:num w:numId="5">
    <w:abstractNumId w:val="3"/>
  </w:num>
  <w:num w:numId="6">
    <w:abstractNumId w:val="3"/>
    <w:lvlOverride w:ilvl="1">
      <w:startOverride w:val="15"/>
    </w:lvlOverride>
  </w:num>
  <w:num w:numId="7">
    <w:abstractNumId w:val="0"/>
  </w:num>
  <w:num w:numId="8">
    <w:abstractNumId w:val="0"/>
    <w:lvlOverride w:ilvl="1">
      <w:startOverride w:val="1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A42"/>
    <w:rsid w:val="001B6A18"/>
    <w:rsid w:val="003E6774"/>
    <w:rsid w:val="0097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BF3D8A-C473-4A30-A992-7B71268BD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eastAsiaTheme="minorEastAsia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1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481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Vítek Jiří</dc:creator>
  <cp:keywords/>
  <dc:description/>
  <cp:lastModifiedBy>Vítek Jiří</cp:lastModifiedBy>
  <cp:revision>3</cp:revision>
  <dcterms:created xsi:type="dcterms:W3CDTF">2015-09-07T15:10:00Z</dcterms:created>
  <dcterms:modified xsi:type="dcterms:W3CDTF">2015-09-07T15:13:00Z</dcterms:modified>
</cp:coreProperties>
</file>